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2382F" w14:textId="77777777" w:rsidR="00E2332A"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t>Комментарий для учителя к заданиям 1–3</w:t>
      </w:r>
    </w:p>
    <w:p w14:paraId="2E122EAE"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Три первых задания должны подвести учащихся к вопросу, как евреям, живущим по всему миру и в разных обстоятельствах, удается сохранять свою идентичность. При посещении экспозиции не раз возникнет вопрос о границах между религией, национальностью и этносом. Для выявления признаков, отличающих эти понятия, учащиеся должны применить соответствующие знания из курса обществознания. </w:t>
      </w:r>
    </w:p>
    <w:p w14:paraId="0A959E42" w14:textId="77777777" w:rsidR="00E2332A" w:rsidRDefault="00E2332A">
      <w:pPr>
        <w:spacing w:line="360" w:lineRule="auto"/>
        <w:jc w:val="both"/>
        <w:rPr>
          <w:rFonts w:ascii="Times New Roman" w:eastAsia="Times New Roman" w:hAnsi="Times New Roman" w:cs="Times New Roman"/>
          <w:i/>
          <w:iCs/>
          <w:sz w:val="24"/>
          <w:szCs w:val="24"/>
        </w:rPr>
      </w:pPr>
    </w:p>
    <w:p w14:paraId="28E503AC" w14:textId="77777777" w:rsidR="00E2332A" w:rsidRDefault="00000000">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До входа в основную экспозицию</w:t>
      </w:r>
    </w:p>
    <w:p w14:paraId="74CAB213"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Задание 1. Возможные ответы: </w:t>
      </w:r>
      <w:r>
        <w:rPr>
          <w:rFonts w:ascii="Times New Roman" w:eastAsia="Times New Roman" w:hAnsi="Times New Roman" w:cs="Times New Roman"/>
          <w:sz w:val="24"/>
          <w:szCs w:val="24"/>
        </w:rPr>
        <w:t>Самый очевидный ответ для большинства учащихся — Израиль, Россия, США, т. е. страны мира, которые в школьной программе по истории ассоциируются с еврейскими миграциями. Менее очевидные варианты: Испания (в седьмом классе изучается, как евреи были выселены из Испании в конце XV века), Польша (часть Речи Посполитой).</w:t>
      </w:r>
    </w:p>
    <w:p w14:paraId="1F1E85E1" w14:textId="77777777" w:rsidR="00E2332A" w:rsidRDefault="00E2332A">
      <w:pPr>
        <w:spacing w:line="360" w:lineRule="auto"/>
        <w:jc w:val="both"/>
        <w:rPr>
          <w:rFonts w:ascii="Times New Roman" w:eastAsia="Times New Roman" w:hAnsi="Times New Roman" w:cs="Times New Roman"/>
          <w:i/>
          <w:iCs/>
          <w:sz w:val="24"/>
          <w:szCs w:val="24"/>
        </w:rPr>
      </w:pPr>
    </w:p>
    <w:p w14:paraId="7102CFB1" w14:textId="77777777" w:rsidR="00E2332A" w:rsidRDefault="00000000">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После входа в основную экспозицию у круглого стола с экранами и «глобусом» (зал «Миграции»)</w:t>
      </w:r>
    </w:p>
    <w:p w14:paraId="13E6BA08"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Задание 2. Возможные ответы:</w:t>
      </w:r>
    </w:p>
    <w:p w14:paraId="157B7AC8" w14:textId="77777777" w:rsidR="00E2332A"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Самые большие диаспоры: Израиль, США, Франция, Канада, Великобритания, Россия. Самые маленькие диаспоры: Ботсвана, Египет, Кыргызстан (есть и иные примеры общин, в которых менее 500 человек, живущих в других странах). </w:t>
      </w:r>
    </w:p>
    <w:p w14:paraId="3D221523" w14:textId="77777777" w:rsidR="00E2332A"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Варианты миграции в Древнем мире: исход из Египта, Вавилонское пленение, миграция в составе Римской империи после II века н. э. XVI–XVII века — изгнание евреев из Испании. XX век: волна миграции, вызванная антисемитской политикой Гитлера в Германии и последующим Холокостом.</w:t>
      </w:r>
    </w:p>
    <w:p w14:paraId="5F91A852" w14:textId="77777777" w:rsidR="00E2332A"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Обстоятельства в зависимости от эпохи: спасение от рабства или худших условий жизни или политических преследований, насильственное пленение, насильственное выселение и т. д.</w:t>
      </w:r>
    </w:p>
    <w:p w14:paraId="71F32C00" w14:textId="77777777" w:rsidR="00E2332A" w:rsidRDefault="00E2332A">
      <w:pPr>
        <w:spacing w:line="360" w:lineRule="auto"/>
        <w:jc w:val="both"/>
        <w:rPr>
          <w:rFonts w:ascii="Times New Roman" w:eastAsia="Times New Roman" w:hAnsi="Times New Roman" w:cs="Times New Roman"/>
          <w:sz w:val="24"/>
          <w:szCs w:val="24"/>
        </w:rPr>
      </w:pPr>
    </w:p>
    <w:p w14:paraId="18EBF084"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Задание 3. Комментарий. </w:t>
      </w:r>
      <w:r>
        <w:rPr>
          <w:rFonts w:ascii="Times New Roman" w:eastAsia="Times New Roman" w:hAnsi="Times New Roman" w:cs="Times New Roman"/>
          <w:sz w:val="24"/>
          <w:szCs w:val="24"/>
        </w:rPr>
        <w:t>При выполнении задания обратите внимание учащихся на то, что идентичность (приверженность определенной религии, этносу или национальности) может складываться из соблюдения традиций, религиозных обрядов или ритуалов, обычаев, формирования определенного мировоззрения посредством разных агентов социализации (семья, образование, община), проживания общего исторического опыта или складывания общей исторической памяти о светлых или трагических событиях (общее воспоминание об успехах представителей общины / о несправедливостях и неравенстве / о едином культурном пространстве и т. п.). Именно эти идеи могут стать основой гипотез учеников.</w:t>
      </w:r>
    </w:p>
    <w:p w14:paraId="2E76BCD0" w14:textId="77777777" w:rsidR="00E2332A" w:rsidRDefault="00E2332A">
      <w:pPr>
        <w:spacing w:line="360" w:lineRule="auto"/>
        <w:jc w:val="both"/>
        <w:rPr>
          <w:rFonts w:ascii="Times New Roman" w:eastAsia="Times New Roman" w:hAnsi="Times New Roman" w:cs="Times New Roman"/>
          <w:sz w:val="24"/>
          <w:szCs w:val="24"/>
        </w:rPr>
      </w:pPr>
    </w:p>
    <w:p w14:paraId="1C364EA2" w14:textId="77777777" w:rsidR="00E2332A"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t>Комментарий для учителя к заданию 4</w:t>
      </w:r>
    </w:p>
    <w:p w14:paraId="6A7352DF"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4 является ключевым для всей разработки. Именно в нем обозначен для учащихся основной фокус посещения экспозиции: выявить те элементы еврейской идентичности или исторического опыта, которые позволяют столь разным людям в столь разных обстоятельствах и регионах мира продолжать считать себя частью единого целого (в религиозном, этническом или национальном смысле). Постарайтесь разъяснить учащимся, как связаны их гипотезы из задания 3 с заданием 4. </w:t>
      </w:r>
    </w:p>
    <w:p w14:paraId="653F33CA" w14:textId="77777777" w:rsidR="00E2332A" w:rsidRDefault="00E2332A">
      <w:pPr>
        <w:spacing w:line="360" w:lineRule="auto"/>
        <w:jc w:val="both"/>
        <w:rPr>
          <w:rFonts w:ascii="Times New Roman" w:eastAsia="Times New Roman" w:hAnsi="Times New Roman" w:cs="Times New Roman"/>
          <w:sz w:val="24"/>
          <w:szCs w:val="24"/>
        </w:rPr>
      </w:pPr>
    </w:p>
    <w:p w14:paraId="44B2B31C"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Задание 4. Комментарий </w:t>
      </w:r>
    </w:p>
    <w:p w14:paraId="168E1423"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Данное задание является лишь формой проверки гипотез учащихся из задания 3. Они сразу могут занести их в ответы и постепенно вычеркивать неверные идеи по мере изучения экспозиции. Учащиеся также могут оставить данные поля пустыми и заполнять их по итогам обсуждения каждого последующего задания. Так или иначе, после изучения новых стендов или очередного музейного зала обязательно возвращайте их к этому заданию. Помогайте формулировать, какие аспекты традиций, религиозных норм, исторического опыта формируют еврейскую идентичность.</w:t>
      </w:r>
    </w:p>
    <w:p w14:paraId="63A749D2"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Другие возможные ответы:</w:t>
      </w:r>
      <w:r>
        <w:rPr>
          <w:rFonts w:ascii="Times New Roman" w:eastAsia="Times New Roman" w:hAnsi="Times New Roman" w:cs="Times New Roman"/>
          <w:sz w:val="24"/>
          <w:szCs w:val="24"/>
        </w:rPr>
        <w:t xml:space="preserve"> повторяющийся цикл праздников, которые соблюдаются в разной форме в каждой семье и являются объединяющими традициями для компактно проживающей общины независимо от государства или региона; система социальных норм, </w:t>
      </w:r>
      <w:r>
        <w:rPr>
          <w:rFonts w:ascii="Times New Roman" w:eastAsia="Times New Roman" w:hAnsi="Times New Roman" w:cs="Times New Roman"/>
          <w:sz w:val="24"/>
          <w:szCs w:val="24"/>
        </w:rPr>
        <w:lastRenderedPageBreak/>
        <w:t>основанных на религиозном учении, которая передается из поколения в поколение или через учебные заведения, или через духовных авторитетов в общине; повторяющийся цикл обычаев, связанных с разными этапами жизни (обряды взросления, женитьбы и т. п.); опыт совместного преодоления экстремальных кризисных обстоятельств (выселения, войны и т. п.); развитие системы общинной взаимопомощи (как на уровне местечек, так и на уровне глобальных образовательных и гуманитарных программ) и т. д.</w:t>
      </w:r>
    </w:p>
    <w:p w14:paraId="23C7E597" w14:textId="77777777" w:rsidR="00E2332A" w:rsidRDefault="00E2332A">
      <w:pPr>
        <w:spacing w:line="360" w:lineRule="auto"/>
        <w:jc w:val="both"/>
        <w:rPr>
          <w:rFonts w:ascii="Times New Roman" w:eastAsia="Times New Roman" w:hAnsi="Times New Roman" w:cs="Times New Roman"/>
          <w:sz w:val="24"/>
          <w:szCs w:val="24"/>
        </w:rPr>
      </w:pPr>
    </w:p>
    <w:p w14:paraId="46BFA5B3" w14:textId="77777777" w:rsidR="00E2332A"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t>Комментарий для учителя к заданиям 5–6</w:t>
      </w:r>
    </w:p>
    <w:p w14:paraId="4144A7AF"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Предложите учащимся в свободном режиме перемещаться между двумя галереями, постепенно заполняя соответствующие части рабочего листа. Данные задания фокусируют внимание учащихся на традициях и религиозных нормах иудаизма. Это один из фундаментов еврейской идентичности, имеющей кросс-культурную перспективу. Основная задача учащихся на этом этапе — выяснить, «что значит быть евреем» с морально-этической и религиозной точек зрения. Помогите им увидеть в обрядах и праздниках не просто набор норм, обязательных для соблюдения, а особенности религиозного учения и еврейской культуры. </w:t>
      </w:r>
    </w:p>
    <w:p w14:paraId="01E1AE62" w14:textId="77777777" w:rsidR="00E2332A" w:rsidRDefault="00E2332A">
      <w:pPr>
        <w:spacing w:line="360" w:lineRule="auto"/>
        <w:jc w:val="both"/>
        <w:rPr>
          <w:rFonts w:ascii="Times New Roman" w:eastAsia="Times New Roman" w:hAnsi="Times New Roman" w:cs="Times New Roman"/>
          <w:sz w:val="24"/>
          <w:szCs w:val="24"/>
        </w:rPr>
      </w:pPr>
    </w:p>
    <w:p w14:paraId="49EB95DB"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Задание 5. Комментарий и возможные ответы</w:t>
      </w:r>
    </w:p>
    <w:p w14:paraId="6DE0CB80"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учащихся могут касаться самых разных аспектов иудаизма или еврейских традиций. В данном случае важнее подчеркнуть их универсальный характер в культуре. Обратите внимание учащихся, как на стендах показано, что эти традиции, несмотря на их древнее происхождение, продолжают активно соблюдаться во многих семьях и в современных условиях, а также являются важной частью жизни общины.</w:t>
      </w:r>
    </w:p>
    <w:p w14:paraId="63EBCF48"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Что делать нельзя:</w:t>
      </w:r>
      <w:r>
        <w:rPr>
          <w:rFonts w:ascii="Times New Roman" w:eastAsia="Times New Roman" w:hAnsi="Times New Roman" w:cs="Times New Roman"/>
          <w:sz w:val="24"/>
          <w:szCs w:val="24"/>
        </w:rPr>
        <w:t xml:space="preserve"> запрет на потребление определенных видов мяса и рыбы, нельзя заниматься рабочими делами в субботу, нельзя есть квасное в Песах и т. д.</w:t>
      </w:r>
    </w:p>
    <w:p w14:paraId="687BD8A4"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Что делать следует:</w:t>
      </w:r>
      <w:r>
        <w:rPr>
          <w:rFonts w:ascii="Times New Roman" w:eastAsia="Times New Roman" w:hAnsi="Times New Roman" w:cs="Times New Roman"/>
          <w:sz w:val="24"/>
          <w:szCs w:val="24"/>
        </w:rPr>
        <w:t xml:space="preserve"> почитать субботу, соблюдать законы Торы, молиться в синагоге, соблюдать ритуалы празднований и т. д.</w:t>
      </w:r>
    </w:p>
    <w:p w14:paraId="72330376" w14:textId="77777777" w:rsidR="00E2332A" w:rsidRDefault="00E2332A">
      <w:pPr>
        <w:spacing w:line="360" w:lineRule="auto"/>
        <w:jc w:val="both"/>
        <w:rPr>
          <w:rFonts w:ascii="Times New Roman" w:eastAsia="Times New Roman" w:hAnsi="Times New Roman" w:cs="Times New Roman"/>
          <w:sz w:val="24"/>
          <w:szCs w:val="24"/>
        </w:rPr>
      </w:pPr>
    </w:p>
    <w:p w14:paraId="11476CEA"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Задание 6. Возможные ответы:</w:t>
      </w:r>
    </w:p>
    <w:p w14:paraId="7C2A0ABF" w14:textId="77777777" w:rsidR="00E2332A"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Суккот — это напоминание о скитаниях по пустыне, о том, что евреи долго выживали благодаря покровительству Бога.</w:t>
      </w:r>
    </w:p>
    <w:p w14:paraId="73EB3500" w14:textId="77777777" w:rsidR="00E2332A"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Бар-мицва — обряд совершеннолетия мальчика, демонстрирующий готовность ребенка взять ответственность за свои поступки перед Богом.</w:t>
      </w:r>
    </w:p>
    <w:p w14:paraId="215D2555" w14:textId="77777777" w:rsidR="00E2332A"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Шаббат (суббота) — святой день отдыха, символизирующий веру еврея в то, что Бог управляет всем в этом мире (в иудаизме Бог творил шесть дней, а на седьмой отдыхал).</w:t>
      </w:r>
    </w:p>
    <w:p w14:paraId="0D6DE9C0" w14:textId="77777777" w:rsidR="00E2332A" w:rsidRDefault="00000000">
      <w:pPr>
        <w:numPr>
          <w:ilvl w:val="0"/>
          <w:numId w:val="2"/>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Ктуба</w:t>
      </w:r>
      <w:proofErr w:type="spellEnd"/>
      <w:r>
        <w:rPr>
          <w:rFonts w:ascii="Times New Roman" w:eastAsia="Times New Roman" w:hAnsi="Times New Roman" w:cs="Times New Roman"/>
          <w:sz w:val="24"/>
          <w:szCs w:val="24"/>
        </w:rPr>
        <w:t xml:space="preserve"> — это брачный договор, который заключается во время церемонии бракосочетания; в нем перечисляются обязательства, которые берет на себя жених, и права его будущей жены; он отражает обязанности мужа, предписанные ему Торой.</w:t>
      </w:r>
    </w:p>
    <w:p w14:paraId="4CAD233F" w14:textId="77777777" w:rsidR="00E2332A"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Тора — священный текст, письменный закон, дающий еврею наставления об устройстве мира, праведности, морали, отношениях между человеком и Богом.</w:t>
      </w:r>
    </w:p>
    <w:p w14:paraId="292E0014" w14:textId="77777777" w:rsidR="00E2332A"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Песах символизирует память об исходе еврейского народа из Египта; для многих религиозных семей это главный праздник календаря.</w:t>
      </w:r>
    </w:p>
    <w:p w14:paraId="64C5D116" w14:textId="77777777" w:rsidR="00E2332A"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Иерусалимский храм — центр священнослужения иудеев в древности; в истории существовало два Иерусалимских храма (один построен при царе Соломоне, второй был построен заново после возвращения из вавилонского пленения), а третий должен быть восстановлен по преданиям в связи с грядущим приходом </w:t>
      </w:r>
      <w:proofErr w:type="spellStart"/>
      <w:r>
        <w:rPr>
          <w:rFonts w:ascii="Times New Roman" w:eastAsia="Times New Roman" w:hAnsi="Times New Roman" w:cs="Times New Roman"/>
          <w:sz w:val="24"/>
          <w:szCs w:val="24"/>
        </w:rPr>
        <w:t>машиаха</w:t>
      </w:r>
      <w:proofErr w:type="spellEnd"/>
      <w:r>
        <w:rPr>
          <w:rFonts w:ascii="Times New Roman" w:eastAsia="Times New Roman" w:hAnsi="Times New Roman" w:cs="Times New Roman"/>
          <w:sz w:val="24"/>
          <w:szCs w:val="24"/>
        </w:rPr>
        <w:t xml:space="preserve"> (мессии).</w:t>
      </w:r>
    </w:p>
    <w:p w14:paraId="13F32052" w14:textId="77777777" w:rsidR="00E2332A" w:rsidRDefault="00E2332A">
      <w:pPr>
        <w:spacing w:line="360" w:lineRule="auto"/>
        <w:jc w:val="both"/>
        <w:rPr>
          <w:rFonts w:ascii="Times New Roman" w:eastAsia="Times New Roman" w:hAnsi="Times New Roman" w:cs="Times New Roman"/>
          <w:b/>
          <w:bCs/>
          <w:sz w:val="24"/>
          <w:szCs w:val="24"/>
        </w:rPr>
      </w:pPr>
    </w:p>
    <w:p w14:paraId="712BAFC5" w14:textId="77777777" w:rsidR="00E2332A"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t>Комментарий для учителя к заданию 7</w:t>
      </w:r>
    </w:p>
    <w:p w14:paraId="34030B6F"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показывает учащимся специфическое устройство жизни в местечке и существовавшие социальные ограничения. Оно будет востребовано на более позднем этапе, когда они ознакомятся с возможностями, открывшимися перед евреями в 1917 году после отмены многих правовых ограничений. Обратите внимание учащихся на то, что большинство доступных профессий было непосредственно связано с жизнью в местечке (как правило, являясь примером горизонтальной мобильности). Евреи могли быть разного </w:t>
      </w:r>
      <w:r>
        <w:rPr>
          <w:rFonts w:ascii="Times New Roman" w:eastAsia="Times New Roman" w:hAnsi="Times New Roman" w:cs="Times New Roman"/>
          <w:sz w:val="24"/>
          <w:szCs w:val="24"/>
        </w:rPr>
        <w:lastRenderedPageBreak/>
        <w:t>рода ремесленниками, при должной усидчивости развить торговый бизнес или духовную карьеру, однако выход за пределы местечка в более престижные или высокооплачиваемые профессии был почти закрыт (так, трудно было построить карьеру в армии, во власти или культуре, или связанную с получением университетского образования).</w:t>
      </w:r>
    </w:p>
    <w:p w14:paraId="73DA6655"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В экспозиции </w:t>
      </w:r>
      <w:proofErr w:type="spellStart"/>
      <w:r>
        <w:rPr>
          <w:rFonts w:ascii="Times New Roman" w:eastAsia="Times New Roman" w:hAnsi="Times New Roman" w:cs="Times New Roman"/>
          <w:i/>
          <w:iCs/>
          <w:sz w:val="24"/>
          <w:szCs w:val="24"/>
        </w:rPr>
        <w:t>штетла</w:t>
      </w:r>
      <w:proofErr w:type="spellEnd"/>
      <w:r>
        <w:rPr>
          <w:rFonts w:ascii="Times New Roman" w:eastAsia="Times New Roman" w:hAnsi="Times New Roman" w:cs="Times New Roman"/>
          <w:i/>
          <w:iCs/>
          <w:sz w:val="24"/>
          <w:szCs w:val="24"/>
        </w:rPr>
        <w:t xml:space="preserve">. </w:t>
      </w:r>
    </w:p>
    <w:p w14:paraId="1C94AFE2"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Задание 7. Правильные ответы:</w:t>
      </w:r>
    </w:p>
    <w:tbl>
      <w:tblPr>
        <w:tblStyle w:val="a5"/>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0"/>
        <w:gridCol w:w="3640"/>
        <w:gridCol w:w="3640"/>
        <w:gridCol w:w="3640"/>
      </w:tblGrid>
      <w:tr w:rsidR="00E2332A" w14:paraId="4C848468" w14:textId="77777777">
        <w:tc>
          <w:tcPr>
            <w:tcW w:w="3640" w:type="dxa"/>
          </w:tcPr>
          <w:p w14:paraId="0F2C4540"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Солдат в армии</w:t>
            </w:r>
          </w:p>
        </w:tc>
        <w:tc>
          <w:tcPr>
            <w:tcW w:w="3640" w:type="dxa"/>
          </w:tcPr>
          <w:p w14:paraId="30695B0D"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Учитель в государственной школе</w:t>
            </w:r>
          </w:p>
        </w:tc>
        <w:tc>
          <w:tcPr>
            <w:tcW w:w="3640" w:type="dxa"/>
          </w:tcPr>
          <w:p w14:paraId="54D6E168"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Крестьянин</w:t>
            </w:r>
          </w:p>
        </w:tc>
        <w:tc>
          <w:tcPr>
            <w:tcW w:w="3640" w:type="dxa"/>
          </w:tcPr>
          <w:p w14:paraId="52922AE5"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Владелец мелкой лавки</w:t>
            </w:r>
          </w:p>
        </w:tc>
      </w:tr>
      <w:tr w:rsidR="00E2332A" w14:paraId="54185038" w14:textId="77777777">
        <w:tc>
          <w:tcPr>
            <w:tcW w:w="3640" w:type="dxa"/>
          </w:tcPr>
          <w:p w14:paraId="12D8753B"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Член торговой кооперации</w:t>
            </w:r>
          </w:p>
        </w:tc>
        <w:tc>
          <w:tcPr>
            <w:tcW w:w="3640" w:type="dxa"/>
          </w:tcPr>
          <w:p w14:paraId="15161E0C"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Чиновник в органах власти</w:t>
            </w:r>
          </w:p>
        </w:tc>
        <w:tc>
          <w:tcPr>
            <w:tcW w:w="3640" w:type="dxa"/>
          </w:tcPr>
          <w:p w14:paraId="0C8B5C06"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Профессор в университете</w:t>
            </w:r>
          </w:p>
        </w:tc>
        <w:tc>
          <w:tcPr>
            <w:tcW w:w="3640" w:type="dxa"/>
          </w:tcPr>
          <w:p w14:paraId="5956055B"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Раввин / Духовный авторитет</w:t>
            </w:r>
          </w:p>
        </w:tc>
      </w:tr>
      <w:tr w:rsidR="00E2332A" w14:paraId="2DC71509" w14:textId="77777777">
        <w:tc>
          <w:tcPr>
            <w:tcW w:w="3640" w:type="dxa"/>
          </w:tcPr>
          <w:p w14:paraId="43CA5E38"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Архитектор</w:t>
            </w:r>
          </w:p>
        </w:tc>
        <w:tc>
          <w:tcPr>
            <w:tcW w:w="3640" w:type="dxa"/>
          </w:tcPr>
          <w:p w14:paraId="458D5712"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Водонос / носильщик</w:t>
            </w:r>
          </w:p>
        </w:tc>
        <w:tc>
          <w:tcPr>
            <w:tcW w:w="3640" w:type="dxa"/>
          </w:tcPr>
          <w:p w14:paraId="5A522760"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Офицер высшего звена на флоте</w:t>
            </w:r>
          </w:p>
        </w:tc>
        <w:tc>
          <w:tcPr>
            <w:tcW w:w="3640" w:type="dxa"/>
          </w:tcPr>
          <w:p w14:paraId="1CBD85EA"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Театральный режиссер</w:t>
            </w:r>
          </w:p>
        </w:tc>
      </w:tr>
      <w:tr w:rsidR="00E2332A" w14:paraId="5654575D" w14:textId="77777777">
        <w:tc>
          <w:tcPr>
            <w:tcW w:w="3640" w:type="dxa"/>
          </w:tcPr>
          <w:p w14:paraId="497EC87F"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Столяр</w:t>
            </w:r>
          </w:p>
        </w:tc>
        <w:tc>
          <w:tcPr>
            <w:tcW w:w="3640" w:type="dxa"/>
          </w:tcPr>
          <w:p w14:paraId="1FDE7BE4"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Комендант крепости</w:t>
            </w:r>
          </w:p>
        </w:tc>
        <w:tc>
          <w:tcPr>
            <w:tcW w:w="3640" w:type="dxa"/>
          </w:tcPr>
          <w:p w14:paraId="3543A5CE"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Сапожник</w:t>
            </w:r>
          </w:p>
        </w:tc>
        <w:tc>
          <w:tcPr>
            <w:tcW w:w="3640" w:type="dxa"/>
          </w:tcPr>
          <w:p w14:paraId="7F3CB0B7"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Извозчик</w:t>
            </w:r>
          </w:p>
        </w:tc>
      </w:tr>
      <w:tr w:rsidR="00E2332A" w14:paraId="73A88C70" w14:textId="77777777">
        <w:tc>
          <w:tcPr>
            <w:tcW w:w="3640" w:type="dxa"/>
          </w:tcPr>
          <w:p w14:paraId="7CA8606D"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Стекольщик</w:t>
            </w:r>
          </w:p>
        </w:tc>
        <w:tc>
          <w:tcPr>
            <w:tcW w:w="3640" w:type="dxa"/>
          </w:tcPr>
          <w:p w14:paraId="6288270A"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Забойщик скота</w:t>
            </w:r>
          </w:p>
        </w:tc>
        <w:tc>
          <w:tcPr>
            <w:tcW w:w="3640" w:type="dxa"/>
          </w:tcPr>
          <w:p w14:paraId="1C4E84C6"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Посол Его Величества в другой стране</w:t>
            </w:r>
          </w:p>
        </w:tc>
        <w:tc>
          <w:tcPr>
            <w:tcW w:w="3640" w:type="dxa"/>
          </w:tcPr>
          <w:p w14:paraId="0B48671D"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Музыкант на свадьбе</w:t>
            </w:r>
          </w:p>
        </w:tc>
      </w:tr>
      <w:tr w:rsidR="00E2332A" w14:paraId="31011606" w14:textId="77777777">
        <w:tc>
          <w:tcPr>
            <w:tcW w:w="3640" w:type="dxa"/>
          </w:tcPr>
          <w:p w14:paraId="24209AC7"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Врач в земской больнице</w:t>
            </w:r>
          </w:p>
        </w:tc>
        <w:tc>
          <w:tcPr>
            <w:tcW w:w="3640" w:type="dxa"/>
          </w:tcPr>
          <w:p w14:paraId="11DE81F6"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в хедере</w:t>
            </w:r>
          </w:p>
        </w:tc>
        <w:tc>
          <w:tcPr>
            <w:tcW w:w="3640" w:type="dxa"/>
          </w:tcPr>
          <w:p w14:paraId="202C80A7"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Часовщик</w:t>
            </w:r>
          </w:p>
        </w:tc>
        <w:tc>
          <w:tcPr>
            <w:tcW w:w="3640" w:type="dxa"/>
          </w:tcPr>
          <w:p w14:paraId="665048AE"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Ученый, член Академии наук</w:t>
            </w:r>
          </w:p>
        </w:tc>
      </w:tr>
      <w:tr w:rsidR="00E2332A" w14:paraId="4FD963D3" w14:textId="77777777">
        <w:tc>
          <w:tcPr>
            <w:tcW w:w="3640" w:type="dxa"/>
          </w:tcPr>
          <w:p w14:paraId="11B6C3B7" w14:textId="77777777" w:rsidR="00E2332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Портной</w:t>
            </w:r>
          </w:p>
        </w:tc>
        <w:tc>
          <w:tcPr>
            <w:tcW w:w="3640" w:type="dxa"/>
          </w:tcPr>
          <w:p w14:paraId="2B7F0DA9"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Актер</w:t>
            </w:r>
          </w:p>
        </w:tc>
        <w:tc>
          <w:tcPr>
            <w:tcW w:w="3640" w:type="dxa"/>
          </w:tcPr>
          <w:p w14:paraId="443BDF7D"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Художник-декоратор</w:t>
            </w:r>
          </w:p>
        </w:tc>
        <w:tc>
          <w:tcPr>
            <w:tcW w:w="3640" w:type="dxa"/>
          </w:tcPr>
          <w:p w14:paraId="47F9A91C" w14:textId="77777777" w:rsidR="00E2332A" w:rsidRDefault="00000000">
            <w:pPr>
              <w:spacing w:line="360"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Офицер высшего звена в армии</w:t>
            </w:r>
          </w:p>
        </w:tc>
      </w:tr>
    </w:tbl>
    <w:p w14:paraId="61D76885" w14:textId="77777777" w:rsidR="00E2332A" w:rsidRDefault="00E2332A">
      <w:pPr>
        <w:spacing w:line="360" w:lineRule="auto"/>
        <w:jc w:val="both"/>
        <w:rPr>
          <w:rFonts w:ascii="Times New Roman" w:eastAsia="Times New Roman" w:hAnsi="Times New Roman" w:cs="Times New Roman"/>
          <w:sz w:val="24"/>
          <w:szCs w:val="24"/>
        </w:rPr>
      </w:pPr>
    </w:p>
    <w:p w14:paraId="1FD1B27A" w14:textId="77777777" w:rsidR="00E2332A" w:rsidRDefault="00E2332A">
      <w:pPr>
        <w:spacing w:line="360" w:lineRule="auto"/>
        <w:jc w:val="both"/>
        <w:rPr>
          <w:rFonts w:ascii="Times New Roman" w:eastAsia="Times New Roman" w:hAnsi="Times New Roman" w:cs="Times New Roman"/>
          <w:sz w:val="24"/>
          <w:szCs w:val="24"/>
        </w:rPr>
      </w:pPr>
    </w:p>
    <w:p w14:paraId="4AB8A4F9" w14:textId="77777777" w:rsidR="00E2332A"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t>Комментарий для учителя к заданиям 8–9</w:t>
      </w:r>
    </w:p>
    <w:p w14:paraId="289DB635"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Задания 8–9 связаны с особенностями развития еврейской общины в Европе до 1800 года. Важно обратить внимание учащихся на правовые ограничения для евреев, возникшие на новом этапе их истории, а также практики и средства, позволившие сохранить идентичность (этому во многом посвящено задание 9, акцентирующее внимание на значении текста и духовных практик в иудаизме).</w:t>
      </w:r>
    </w:p>
    <w:p w14:paraId="4563C940" w14:textId="77777777" w:rsidR="00E2332A" w:rsidRDefault="00E2332A">
      <w:pPr>
        <w:spacing w:line="360" w:lineRule="auto"/>
        <w:jc w:val="both"/>
        <w:rPr>
          <w:rFonts w:ascii="Times New Roman" w:eastAsia="Times New Roman" w:hAnsi="Times New Roman" w:cs="Times New Roman"/>
          <w:i/>
          <w:iCs/>
          <w:sz w:val="24"/>
          <w:szCs w:val="24"/>
        </w:rPr>
      </w:pPr>
    </w:p>
    <w:p w14:paraId="202C665B" w14:textId="77777777" w:rsidR="00E2332A" w:rsidRDefault="00E2332A">
      <w:pPr>
        <w:spacing w:line="360" w:lineRule="auto"/>
        <w:jc w:val="both"/>
        <w:rPr>
          <w:rFonts w:ascii="Times New Roman" w:eastAsia="Times New Roman" w:hAnsi="Times New Roman" w:cs="Times New Roman"/>
          <w:i/>
          <w:iCs/>
          <w:sz w:val="24"/>
          <w:szCs w:val="24"/>
        </w:rPr>
      </w:pPr>
    </w:p>
    <w:p w14:paraId="625F7D2F"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Зал «Корни российского еврейства». </w:t>
      </w:r>
    </w:p>
    <w:p w14:paraId="045262E6"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Задание 8. Возможные ответы.</w:t>
      </w:r>
    </w:p>
    <w:p w14:paraId="67A8B777"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Миграция:</w:t>
      </w:r>
      <w:r>
        <w:rPr>
          <w:rFonts w:ascii="Times New Roman" w:eastAsia="Times New Roman" w:hAnsi="Times New Roman" w:cs="Times New Roman"/>
          <w:sz w:val="24"/>
          <w:szCs w:val="24"/>
        </w:rPr>
        <w:t xml:space="preserve"> эпидемия чумы в 1348–1350 годах провоцирует волну еврейских погромов в немецких землях (всплеск насилия приводит к волне переселения евреев в Польшу), указ Императрицы Елизаветы Петровны от 1742 года об изгнании всех евреев из Российской империи.</w:t>
      </w:r>
    </w:p>
    <w:p w14:paraId="4E934CFC"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Правовое и социальное положение:</w:t>
      </w:r>
      <w:r>
        <w:rPr>
          <w:rFonts w:ascii="Times New Roman" w:eastAsia="Times New Roman" w:hAnsi="Times New Roman" w:cs="Times New Roman"/>
          <w:sz w:val="24"/>
          <w:szCs w:val="24"/>
        </w:rPr>
        <w:t xml:space="preserve"> в XIV веке князь Витовт дарует привилегии еврейским общинам Литвы (они получили право заниматься торговлей и ремеслами), в 1791 году — начало формирования черты постоянной еврейской оседлости.</w:t>
      </w:r>
    </w:p>
    <w:p w14:paraId="03FD49F3"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Политические события:</w:t>
      </w:r>
      <w:r>
        <w:rPr>
          <w:rFonts w:ascii="Times New Roman" w:eastAsia="Times New Roman" w:hAnsi="Times New Roman" w:cs="Times New Roman"/>
          <w:sz w:val="24"/>
          <w:szCs w:val="24"/>
        </w:rPr>
        <w:t xml:space="preserve"> в XVI веке в Польше еврейские общины создают Совет четырех земель (центральный орган еврейского самоуправления до 1764 года); </w:t>
      </w:r>
      <w:proofErr w:type="spellStart"/>
      <w:r>
        <w:rPr>
          <w:rFonts w:ascii="Times New Roman" w:eastAsia="Times New Roman" w:hAnsi="Times New Roman" w:cs="Times New Roman"/>
          <w:sz w:val="24"/>
          <w:szCs w:val="24"/>
        </w:rPr>
        <w:t>Колиивщина</w:t>
      </w:r>
      <w:proofErr w:type="spellEnd"/>
      <w:r>
        <w:rPr>
          <w:rFonts w:ascii="Times New Roman" w:eastAsia="Times New Roman" w:hAnsi="Times New Roman" w:cs="Times New Roman"/>
          <w:sz w:val="24"/>
          <w:szCs w:val="24"/>
        </w:rPr>
        <w:t xml:space="preserve"> в 1768–1769 годах (расправы над евреями во время восстания).</w:t>
      </w:r>
    </w:p>
    <w:p w14:paraId="270AA00F" w14:textId="77777777" w:rsidR="00E2332A" w:rsidRDefault="00E2332A">
      <w:pPr>
        <w:spacing w:line="360" w:lineRule="auto"/>
        <w:jc w:val="both"/>
        <w:rPr>
          <w:rFonts w:ascii="Times New Roman" w:eastAsia="Times New Roman" w:hAnsi="Times New Roman" w:cs="Times New Roman"/>
          <w:sz w:val="24"/>
          <w:szCs w:val="24"/>
        </w:rPr>
      </w:pPr>
    </w:p>
    <w:p w14:paraId="5DAB1C70" w14:textId="77777777" w:rsidR="00E2332A"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t>Комментарий для учителя к заданиям 9–11</w:t>
      </w:r>
    </w:p>
    <w:p w14:paraId="086EEF59"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Задания 9–11 показывают, как радикально начала трансформироваться жизнь еврейской общины в России с середины XIX века, обозначая противоречивый характер этих изменений. С одной стороны, многие евреи начали включаться в капиталистическую экономику, развитие культуры и научный прогресс. С другой — это вело к постепенному затуханию местечковой жизни и разрыву с традициями. На примере данных заданий также нужно проследить, что еще одним важнейшим аспектом еврейской идентичности на этом этапе являлись коллективные действия разного характера (взаимопомощь и гуманитарные проекты, а также политическая борьба и участие в революции). Вместе с тем этот период демонстрирует, что еще одним важным аспектом развития еврейской общины является готовность к миграции коллективными усилиями и формирование связей между диаспорами даже на разных континентах.</w:t>
      </w:r>
    </w:p>
    <w:p w14:paraId="22E0EA12" w14:textId="77777777" w:rsidR="00E2332A" w:rsidRDefault="00E2332A">
      <w:pPr>
        <w:spacing w:line="360" w:lineRule="auto"/>
        <w:jc w:val="both"/>
        <w:rPr>
          <w:rFonts w:ascii="Times New Roman" w:eastAsia="Times New Roman" w:hAnsi="Times New Roman" w:cs="Times New Roman"/>
          <w:sz w:val="24"/>
          <w:szCs w:val="24"/>
        </w:rPr>
      </w:pPr>
    </w:p>
    <w:p w14:paraId="29808BFB" w14:textId="77777777" w:rsidR="00E2332A" w:rsidRDefault="00000000">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Зал «Города и дали».</w:t>
      </w:r>
    </w:p>
    <w:p w14:paraId="4386F50C"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Задание 9. Возможные ответы. </w:t>
      </w:r>
    </w:p>
    <w:p w14:paraId="2B73B789"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Политика</w:t>
      </w:r>
      <w:r>
        <w:rPr>
          <w:rFonts w:ascii="Times New Roman" w:eastAsia="Times New Roman" w:hAnsi="Times New Roman" w:cs="Times New Roman"/>
          <w:sz w:val="24"/>
          <w:szCs w:val="24"/>
        </w:rPr>
        <w:t>: с 1881 по 1914 год из России уехало около 2 млн евреев (большинство из них в США); в начале XX века около трети арестованных по политическим статьям в Российской империи были евреями (большинство арестованных евреев — члены БУНД); многие евреи также начали участвовать в политической жизни путем участия в выборах, стачках и продвижения идей о политическом и гражданском равенстве с другими народами Российской империи.</w:t>
      </w:r>
    </w:p>
    <w:p w14:paraId="1154C502"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Экономика</w:t>
      </w:r>
      <w:r>
        <w:rPr>
          <w:rFonts w:ascii="Times New Roman" w:eastAsia="Times New Roman" w:hAnsi="Times New Roman" w:cs="Times New Roman"/>
          <w:sz w:val="24"/>
          <w:szCs w:val="24"/>
        </w:rPr>
        <w:t>: треть торгового класса России — евреи; 30 % капиталов московской гильдии купцов составляли еврейские капиталы; братья Поляковы основали банки и банкирские дома, финансировали строительство железных дорог; Израиль Познанский — крупнейший производитель текстиля в Лодзи; братья Бродские — сахарные короли (производили 25 % сахара-рафинада России).</w:t>
      </w:r>
    </w:p>
    <w:p w14:paraId="7C16A714"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Культура и наука</w:t>
      </w:r>
      <w:r>
        <w:rPr>
          <w:rFonts w:ascii="Times New Roman" w:eastAsia="Times New Roman" w:hAnsi="Times New Roman" w:cs="Times New Roman"/>
          <w:sz w:val="24"/>
          <w:szCs w:val="24"/>
        </w:rPr>
        <w:t xml:space="preserve">: Менделе </w:t>
      </w:r>
      <w:proofErr w:type="spellStart"/>
      <w:r>
        <w:rPr>
          <w:rFonts w:ascii="Times New Roman" w:eastAsia="Times New Roman" w:hAnsi="Times New Roman" w:cs="Times New Roman"/>
          <w:sz w:val="24"/>
          <w:szCs w:val="24"/>
        </w:rPr>
        <w:t>Мойхер-Сфорим</w:t>
      </w:r>
      <w:proofErr w:type="spellEnd"/>
      <w:r>
        <w:rPr>
          <w:rFonts w:ascii="Times New Roman" w:eastAsia="Times New Roman" w:hAnsi="Times New Roman" w:cs="Times New Roman"/>
          <w:sz w:val="24"/>
          <w:szCs w:val="24"/>
        </w:rPr>
        <w:t xml:space="preserve"> был «дедушкой» литературы на идише; И.-Л. Перец — реалист и модернист (обработал народные легенды в современной форме на идише), Ш. Н. Рабинович (Шолом-Алейхем) — изобразил жизнь еврейского местечка и евреев в городе, М. Антокольский — скульптор, выходец из традиционной еврейской среды, И. Левитан и Л. Бакст — дистанцировались от своего еврейства и стали виднейшими художниками своего времени (Бакст реформировал русскую сценографию, развивая балет), братья Рубинштейны — основатели консерваторий в Санкт-Петербурге и Москве (хотя с детства были крещены, но сохраняли еврейскую идентичность и традицию); евреи активно участвовали в объединениях художников, поэтов, вносили свой вклад в культуру России.</w:t>
      </w:r>
    </w:p>
    <w:p w14:paraId="0C14A3CE" w14:textId="77777777" w:rsidR="00E233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Социальная сфера</w:t>
      </w:r>
      <w:r>
        <w:rPr>
          <w:rFonts w:ascii="Times New Roman" w:eastAsia="Times New Roman" w:hAnsi="Times New Roman" w:cs="Times New Roman"/>
          <w:sz w:val="24"/>
          <w:szCs w:val="24"/>
        </w:rPr>
        <w:t xml:space="preserve">: разбогатевшие еврейские купцы и промышленники жертвовали на благотворительность, финансировали строительство синагог, выделяли деньги ученым / художникам / писателям, а также строили приюты для еврейских бедняков и детей; организация обществ взаимопомощи для еврейских студентов; </w:t>
      </w:r>
    </w:p>
    <w:p w14:paraId="0EDCBAEE" w14:textId="77777777" w:rsidR="00E2332A" w:rsidRDefault="00E2332A">
      <w:pPr>
        <w:spacing w:line="360" w:lineRule="auto"/>
        <w:jc w:val="both"/>
        <w:rPr>
          <w:rFonts w:ascii="Times New Roman" w:eastAsia="Times New Roman" w:hAnsi="Times New Roman" w:cs="Times New Roman"/>
          <w:sz w:val="24"/>
          <w:szCs w:val="24"/>
          <w:lang w:val="ru-RU"/>
        </w:rPr>
      </w:pPr>
    </w:p>
    <w:p w14:paraId="303B3469" w14:textId="77777777" w:rsidR="00FA4C99" w:rsidRDefault="00FA4C99">
      <w:pPr>
        <w:spacing w:line="360" w:lineRule="auto"/>
        <w:jc w:val="both"/>
        <w:rPr>
          <w:rFonts w:ascii="Times New Roman" w:eastAsia="Times New Roman" w:hAnsi="Times New Roman" w:cs="Times New Roman"/>
          <w:sz w:val="24"/>
          <w:szCs w:val="24"/>
          <w:lang w:val="ru-RU"/>
        </w:rPr>
      </w:pPr>
    </w:p>
    <w:p w14:paraId="10060794" w14:textId="77777777" w:rsidR="00FA4C99" w:rsidRPr="00FA4C99" w:rsidRDefault="00FA4C99">
      <w:pPr>
        <w:spacing w:line="360" w:lineRule="auto"/>
        <w:jc w:val="both"/>
        <w:rPr>
          <w:rFonts w:ascii="Times New Roman" w:eastAsia="Times New Roman" w:hAnsi="Times New Roman" w:cs="Times New Roman"/>
          <w:sz w:val="24"/>
          <w:szCs w:val="24"/>
          <w:lang w:val="ru-RU"/>
        </w:rPr>
      </w:pPr>
    </w:p>
    <w:p w14:paraId="44FBEC91" w14:textId="77777777" w:rsidR="00E2332A"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Задания 10–11. Комментарий</w:t>
      </w:r>
    </w:p>
    <w:p w14:paraId="0FAF41AF"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Стратегия миграции</w:t>
      </w:r>
      <w:r>
        <w:rPr>
          <w:rFonts w:ascii="Times New Roman" w:eastAsia="Times New Roman" w:hAnsi="Times New Roman" w:cs="Times New Roman"/>
          <w:sz w:val="24"/>
          <w:szCs w:val="24"/>
        </w:rPr>
        <w:t xml:space="preserve"> предполагает избегание проблем и переселение на новые земли, где будет меньше сложностей и ограничений (как в другие государства, так и в пределах империи).</w:t>
      </w:r>
    </w:p>
    <w:p w14:paraId="5177833B"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Стратегия интеграции</w:t>
      </w:r>
      <w:r>
        <w:rPr>
          <w:rFonts w:ascii="Times New Roman" w:eastAsia="Times New Roman" w:hAnsi="Times New Roman" w:cs="Times New Roman"/>
          <w:sz w:val="24"/>
          <w:szCs w:val="24"/>
        </w:rPr>
        <w:t xml:space="preserve"> предполагает вовлечение в политическую, культурную и экономическую жизнь Российской империи, при этом с разной степенью успешности сохраняя еврейскую идентичность.</w:t>
      </w:r>
    </w:p>
    <w:p w14:paraId="70F25229"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Стратегия революции</w:t>
      </w:r>
      <w:r>
        <w:rPr>
          <w:rFonts w:ascii="Times New Roman" w:eastAsia="Times New Roman" w:hAnsi="Times New Roman" w:cs="Times New Roman"/>
          <w:sz w:val="24"/>
          <w:szCs w:val="24"/>
        </w:rPr>
        <w:t xml:space="preserve"> предполагает политический слом и радикальное преобразование государства.</w:t>
      </w:r>
    </w:p>
    <w:p w14:paraId="1B46E608" w14:textId="77777777" w:rsidR="00E2332A" w:rsidRDefault="00E2332A">
      <w:pPr>
        <w:spacing w:line="360" w:lineRule="auto"/>
        <w:jc w:val="both"/>
        <w:rPr>
          <w:rFonts w:ascii="Times New Roman" w:eastAsia="Times New Roman" w:hAnsi="Times New Roman" w:cs="Times New Roman"/>
          <w:sz w:val="24"/>
          <w:szCs w:val="24"/>
        </w:rPr>
      </w:pPr>
    </w:p>
    <w:p w14:paraId="09F3938E" w14:textId="77777777" w:rsidR="00E2332A"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t>Комментарий для учителя к заданию 12</w:t>
      </w:r>
    </w:p>
    <w:p w14:paraId="60706F79"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12 обобщает информацию о трансформации еврейской общины в России после разделов Речи Посполитой — от </w:t>
      </w:r>
      <w:proofErr w:type="spellStart"/>
      <w:r>
        <w:rPr>
          <w:rFonts w:ascii="Times New Roman" w:eastAsia="Times New Roman" w:hAnsi="Times New Roman" w:cs="Times New Roman"/>
          <w:sz w:val="24"/>
          <w:szCs w:val="24"/>
        </w:rPr>
        <w:t>штетла</w:t>
      </w:r>
      <w:proofErr w:type="spellEnd"/>
      <w:r>
        <w:rPr>
          <w:rFonts w:ascii="Times New Roman" w:eastAsia="Times New Roman" w:hAnsi="Times New Roman" w:cs="Times New Roman"/>
          <w:sz w:val="24"/>
          <w:szCs w:val="24"/>
        </w:rPr>
        <w:t xml:space="preserve"> через эпоху ограничений и великих реформ к революции и ее последствиям. Важно помочь учащимся зафиксировать всё разнообразие карьерных путей, ставшее доступным для евреев. Для этого они могут ознакомиться как с центральным интерактивным столом в зале (изучить биографии), так и посмотреть короткие видеоролики на боковых стендах. </w:t>
      </w:r>
    </w:p>
    <w:p w14:paraId="54715A56" w14:textId="77777777" w:rsidR="00E2332A"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Учащиеся узнают, что после революции 1917 года и снятия множества ограничений радикально изменились социальные лифты, а евреи приобрели возможности получать образование, строить карьеру, занимать высшие должности в разных сферах деятельности. Вместе с этим после просмотра роликов об отношении советской власти к иудаизму и ивриту учащиеся обнаружат, что для построения успешной карьеры в новом государстве евреям приходилось фактически отказываться от собственной идентичности. При этом многие из них были отнесены к категории лишенцев. Это важное противоречие является финальной точкой в изучении исторического опыта, который испытали поколения еврейского народа.</w:t>
      </w:r>
    </w:p>
    <w:p w14:paraId="1BA365DE" w14:textId="77777777" w:rsidR="00E2332A" w:rsidRDefault="00E2332A">
      <w:pPr>
        <w:spacing w:line="360" w:lineRule="auto"/>
        <w:jc w:val="both"/>
        <w:rPr>
          <w:rFonts w:ascii="Times New Roman" w:eastAsia="Times New Roman" w:hAnsi="Times New Roman" w:cs="Times New Roman"/>
          <w:sz w:val="24"/>
          <w:szCs w:val="24"/>
        </w:rPr>
      </w:pPr>
    </w:p>
    <w:p w14:paraId="7FFF64CF" w14:textId="525D7A8D" w:rsidR="00E2332A" w:rsidRDefault="00000000" w:rsidP="00FA4C99">
      <w:pPr>
        <w:spacing w:line="360" w:lineRule="auto"/>
        <w:jc w:val="both"/>
      </w:pPr>
      <w:r>
        <w:rPr>
          <w:rFonts w:ascii="Times New Roman" w:eastAsia="Times New Roman" w:hAnsi="Times New Roman" w:cs="Times New Roman"/>
          <w:b/>
          <w:bCs/>
          <w:sz w:val="24"/>
          <w:szCs w:val="24"/>
        </w:rPr>
        <w:t>Рефлексия. Подведение итогов.</w:t>
      </w:r>
      <w:r>
        <w:rPr>
          <w:rFonts w:ascii="Times New Roman" w:eastAsia="Times New Roman" w:hAnsi="Times New Roman" w:cs="Times New Roman"/>
          <w:sz w:val="24"/>
          <w:szCs w:val="24"/>
        </w:rPr>
        <w:t xml:space="preserve"> На данном этапе обязательно вернитесь с учащимися к заданию 4. Помогите им обобщить ответы, пользуясь подсказками рабочего листа.</w:t>
      </w:r>
    </w:p>
    <w:sectPr w:rsidR="00E2332A">
      <w:headerReference w:type="default" r:id="rId7"/>
      <w:footerReference w:type="default" r:id="rId8"/>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907FB" w14:textId="77777777" w:rsidR="002828D8" w:rsidRDefault="002828D8" w:rsidP="00241439">
      <w:pPr>
        <w:spacing w:line="240" w:lineRule="auto"/>
      </w:pPr>
      <w:r>
        <w:separator/>
      </w:r>
    </w:p>
  </w:endnote>
  <w:endnote w:type="continuationSeparator" w:id="0">
    <w:p w14:paraId="73F934A3" w14:textId="77777777" w:rsidR="002828D8" w:rsidRDefault="002828D8" w:rsidP="002414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7F57D83-3142-4A26-B633-D95C6BD450C0}"/>
  </w:font>
  <w:font w:name="Calibri">
    <w:panose1 w:val="020F0502020204030204"/>
    <w:charset w:val="CC"/>
    <w:family w:val="swiss"/>
    <w:pitch w:val="variable"/>
    <w:sig w:usb0="E4002EFF" w:usb1="C000247B" w:usb2="00000009" w:usb3="00000000" w:csb0="000001FF" w:csb1="00000000"/>
    <w:embedRegular r:id="rId2" w:fontKey="{5057A2FE-840E-4880-86CB-2DF20A42FE90}"/>
  </w:font>
  <w:font w:name="Cambria">
    <w:panose1 w:val="02040503050406030204"/>
    <w:charset w:val="CC"/>
    <w:family w:val="roman"/>
    <w:pitch w:val="variable"/>
    <w:sig w:usb0="E00006FF" w:usb1="420024FF" w:usb2="02000000" w:usb3="00000000" w:csb0="0000019F" w:csb1="00000000"/>
    <w:embedRegular r:id="rId3" w:fontKey="{08B6F7FA-1280-4A92-BC57-7A849AC209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89339"/>
      <w:docPartObj>
        <w:docPartGallery w:val="Page Numbers (Bottom of Page)"/>
        <w:docPartUnique/>
      </w:docPartObj>
    </w:sdtPr>
    <w:sdtEndPr>
      <w:rPr>
        <w:rFonts w:ascii="Times New Roman" w:hAnsi="Times New Roman" w:cs="Times New Roman"/>
        <w:sz w:val="24"/>
        <w:szCs w:val="24"/>
      </w:rPr>
    </w:sdtEndPr>
    <w:sdtContent>
      <w:p w14:paraId="3D4A3AB9" w14:textId="4B255787" w:rsidR="00241439" w:rsidRPr="00241439" w:rsidRDefault="00241439">
        <w:pPr>
          <w:pStyle w:val="a8"/>
          <w:jc w:val="right"/>
          <w:rPr>
            <w:rFonts w:ascii="Times New Roman" w:hAnsi="Times New Roman" w:cs="Times New Roman"/>
            <w:sz w:val="24"/>
            <w:szCs w:val="24"/>
          </w:rPr>
        </w:pPr>
        <w:r w:rsidRPr="00241439">
          <w:rPr>
            <w:rFonts w:ascii="Times New Roman" w:hAnsi="Times New Roman" w:cs="Times New Roman"/>
            <w:sz w:val="24"/>
            <w:szCs w:val="24"/>
          </w:rPr>
          <w:fldChar w:fldCharType="begin"/>
        </w:r>
        <w:r w:rsidRPr="00241439">
          <w:rPr>
            <w:rFonts w:ascii="Times New Roman" w:hAnsi="Times New Roman" w:cs="Times New Roman"/>
            <w:sz w:val="24"/>
            <w:szCs w:val="24"/>
          </w:rPr>
          <w:instrText>PAGE   \* MERGEFORMAT</w:instrText>
        </w:r>
        <w:r w:rsidRPr="00241439">
          <w:rPr>
            <w:rFonts w:ascii="Times New Roman" w:hAnsi="Times New Roman" w:cs="Times New Roman"/>
            <w:sz w:val="24"/>
            <w:szCs w:val="24"/>
          </w:rPr>
          <w:fldChar w:fldCharType="separate"/>
        </w:r>
        <w:r w:rsidRPr="00241439">
          <w:rPr>
            <w:rFonts w:ascii="Times New Roman" w:hAnsi="Times New Roman" w:cs="Times New Roman"/>
            <w:sz w:val="24"/>
            <w:szCs w:val="24"/>
            <w:lang w:val="ru-RU"/>
          </w:rPr>
          <w:t>2</w:t>
        </w:r>
        <w:r w:rsidRPr="00241439">
          <w:rPr>
            <w:rFonts w:ascii="Times New Roman" w:hAnsi="Times New Roman" w:cs="Times New Roman"/>
            <w:sz w:val="24"/>
            <w:szCs w:val="24"/>
          </w:rPr>
          <w:fldChar w:fldCharType="end"/>
        </w:r>
      </w:p>
    </w:sdtContent>
  </w:sdt>
  <w:p w14:paraId="10F088DA" w14:textId="77777777" w:rsidR="00241439" w:rsidRDefault="0024143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871B2" w14:textId="77777777" w:rsidR="002828D8" w:rsidRDefault="002828D8" w:rsidP="00241439">
      <w:pPr>
        <w:spacing w:line="240" w:lineRule="auto"/>
      </w:pPr>
      <w:r>
        <w:separator/>
      </w:r>
    </w:p>
  </w:footnote>
  <w:footnote w:type="continuationSeparator" w:id="0">
    <w:p w14:paraId="7310333D" w14:textId="77777777" w:rsidR="002828D8" w:rsidRDefault="002828D8" w:rsidP="002414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08294" w14:textId="77777777" w:rsidR="00241439" w:rsidRPr="00241439" w:rsidRDefault="00241439" w:rsidP="00241439">
    <w:pPr>
      <w:tabs>
        <w:tab w:val="center" w:pos="4677"/>
        <w:tab w:val="right" w:pos="9355"/>
      </w:tabs>
      <w:spacing w:line="240" w:lineRule="auto"/>
      <w:rPr>
        <w:rFonts w:ascii="Aptos" w:eastAsia="Aptos" w:hAnsi="Aptos" w:cs="Aptos"/>
        <w:sz w:val="24"/>
        <w:szCs w:val="24"/>
        <w:lang w:val="ru-RU"/>
      </w:rPr>
    </w:pPr>
    <w:r w:rsidRPr="00241439">
      <w:rPr>
        <w:rFonts w:ascii="Aptos" w:eastAsia="Aptos" w:hAnsi="Aptos" w:cs="Aptos"/>
        <w:sz w:val="24"/>
        <w:szCs w:val="24"/>
        <w:lang w:val="ru-RU"/>
      </w:rPr>
      <w:t>Еврейский музей и центр толерантности</w:t>
    </w:r>
  </w:p>
  <w:p w14:paraId="2F6E4D98" w14:textId="7D6C657E" w:rsidR="00241439" w:rsidRPr="00241439" w:rsidRDefault="00241439" w:rsidP="00241439">
    <w:pPr>
      <w:tabs>
        <w:tab w:val="center" w:pos="4677"/>
        <w:tab w:val="right" w:pos="9355"/>
      </w:tabs>
      <w:spacing w:line="240" w:lineRule="auto"/>
      <w:rPr>
        <w:rFonts w:ascii="Aptos" w:eastAsia="Aptos" w:hAnsi="Aptos" w:cs="Aptos"/>
        <w:sz w:val="24"/>
        <w:szCs w:val="24"/>
        <w:lang w:val="ru-RU"/>
      </w:rPr>
    </w:pPr>
    <w:r w:rsidRPr="00241439">
      <w:rPr>
        <w:rFonts w:ascii="Aptos" w:eastAsia="Aptos" w:hAnsi="Aptos" w:cs="Aptos"/>
        <w:sz w:val="24"/>
        <w:szCs w:val="24"/>
        <w:lang w:val="ru-RU"/>
      </w:rPr>
      <w:t>«Еврейская культура — часть мировой</w:t>
    </w:r>
    <w:r w:rsidRPr="00241439">
      <w:rPr>
        <w:rFonts w:ascii="Aptos" w:eastAsia="Aptos" w:hAnsi="Aptos" w:cs="Aptos"/>
        <w:sz w:val="24"/>
        <w:szCs w:val="24"/>
        <w:lang w:val="ru-RU"/>
      </w:rPr>
      <w:tab/>
      <w:t>» (интегрированный урок истории, обществознания и географии, 7–</w:t>
    </w:r>
    <w:r w:rsidR="00F478EB">
      <w:rPr>
        <w:rFonts w:ascii="Aptos" w:eastAsia="Aptos" w:hAnsi="Aptos" w:cs="Aptos"/>
        <w:sz w:val="24"/>
        <w:szCs w:val="24"/>
        <w:lang w:val="ru-RU"/>
      </w:rPr>
      <w:t>10</w:t>
    </w:r>
    <w:r w:rsidRPr="00241439">
      <w:rPr>
        <w:rFonts w:ascii="Aptos" w:eastAsia="Aptos" w:hAnsi="Aptos" w:cs="Aptos"/>
        <w:sz w:val="24"/>
        <w:szCs w:val="24"/>
        <w:lang w:val="ru-RU"/>
      </w:rPr>
      <w:t xml:space="preserve"> классы)</w:t>
    </w:r>
  </w:p>
  <w:p w14:paraId="610F63A1" w14:textId="77777777" w:rsidR="00241439" w:rsidRPr="00241439" w:rsidRDefault="00241439">
    <w:pPr>
      <w:pStyle w:val="a6"/>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05DEB"/>
    <w:multiLevelType w:val="multilevel"/>
    <w:tmpl w:val="756669E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75BC0735"/>
    <w:multiLevelType w:val="multilevel"/>
    <w:tmpl w:val="5420CCD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111128259">
    <w:abstractNumId w:val="0"/>
  </w:num>
  <w:num w:numId="2" w16cid:durableId="4012930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32A"/>
    <w:rsid w:val="00241439"/>
    <w:rsid w:val="002828D8"/>
    <w:rsid w:val="002C4812"/>
    <w:rsid w:val="007B1C03"/>
    <w:rsid w:val="00BD3A38"/>
    <w:rsid w:val="00E2332A"/>
    <w:rsid w:val="00ED687F"/>
    <w:rsid w:val="00F478EB"/>
    <w:rsid w:val="00FA4C99"/>
    <w:rsid w:val="00FD6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3F1D4"/>
  <w15:docId w15:val="{DC8198A0-CD7D-4610-9909-17B4612C5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paragraph" w:styleId="a6">
    <w:name w:val="header"/>
    <w:basedOn w:val="a"/>
    <w:link w:val="a7"/>
    <w:uiPriority w:val="99"/>
    <w:unhideWhenUsed/>
    <w:rsid w:val="00241439"/>
    <w:pPr>
      <w:tabs>
        <w:tab w:val="center" w:pos="4677"/>
        <w:tab w:val="right" w:pos="9355"/>
      </w:tabs>
      <w:spacing w:line="240" w:lineRule="auto"/>
    </w:pPr>
  </w:style>
  <w:style w:type="character" w:customStyle="1" w:styleId="a7">
    <w:name w:val="Верхний колонтитул Знак"/>
    <w:basedOn w:val="a0"/>
    <w:link w:val="a6"/>
    <w:uiPriority w:val="99"/>
    <w:rsid w:val="00241439"/>
  </w:style>
  <w:style w:type="paragraph" w:styleId="a8">
    <w:name w:val="footer"/>
    <w:basedOn w:val="a"/>
    <w:link w:val="a9"/>
    <w:uiPriority w:val="99"/>
    <w:unhideWhenUsed/>
    <w:rsid w:val="00241439"/>
    <w:pPr>
      <w:tabs>
        <w:tab w:val="center" w:pos="4677"/>
        <w:tab w:val="right" w:pos="9355"/>
      </w:tabs>
      <w:spacing w:line="240" w:lineRule="auto"/>
    </w:pPr>
  </w:style>
  <w:style w:type="character" w:customStyle="1" w:styleId="a9">
    <w:name w:val="Нижний колонтитул Знак"/>
    <w:basedOn w:val="a0"/>
    <w:link w:val="a8"/>
    <w:uiPriority w:val="99"/>
    <w:rsid w:val="00241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2057</Words>
  <Characters>11727</Characters>
  <Application>Microsoft Office Word</Application>
  <DocSecurity>0</DocSecurity>
  <Lines>97</Lines>
  <Paragraphs>27</Paragraphs>
  <ScaleCrop>false</ScaleCrop>
  <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2026-02-11T12:18:00Z</dcterms:created>
  <dcterms:modified xsi:type="dcterms:W3CDTF">2026-02-11T12:25:00Z</dcterms:modified>
</cp:coreProperties>
</file>